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B86" w:rsidRDefault="0077141F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6D2B86" w:rsidRDefault="0077141F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>ПО ДИСЦИПЛИНЕ</w:t>
      </w:r>
      <w:r w:rsidR="006D2B86">
        <w:rPr>
          <w:rFonts w:ascii="Times New Roman" w:hAnsi="Times New Roman" w:cs="Times New Roman"/>
          <w:sz w:val="28"/>
          <w:szCs w:val="28"/>
        </w:rPr>
        <w:t xml:space="preserve"> «СТОМАТОЛОГИЯ» </w:t>
      </w:r>
    </w:p>
    <w:p w:rsidR="00531FD8" w:rsidRPr="006D2B86" w:rsidRDefault="006D2B86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</w:t>
      </w:r>
      <w:r w:rsidR="0077141F" w:rsidRPr="0077141F">
        <w:rPr>
          <w:rFonts w:ascii="Times New Roman" w:hAnsi="Times New Roman" w:cs="Times New Roman"/>
          <w:b/>
          <w:sz w:val="28"/>
          <w:szCs w:val="28"/>
        </w:rPr>
        <w:t>«КЛИНИЧЕСКАЯ СТОМАТОЛОГИЯ</w:t>
      </w:r>
      <w:r w:rsidR="0077141F" w:rsidRPr="0077141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7141F" w:rsidRPr="006D2B86" w:rsidRDefault="0077141F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531FD8" w:rsidP="0077141F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6D2B86">
        <w:rPr>
          <w:rFonts w:ascii="Times New Roman" w:hAnsi="Times New Roman" w:cs="Times New Roman"/>
          <w:b/>
          <w:sz w:val="24"/>
          <w:szCs w:val="24"/>
        </w:rPr>
        <w:t>:</w:t>
      </w:r>
      <w:r w:rsidR="0077141F" w:rsidRPr="007714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00DE">
        <w:rPr>
          <w:rFonts w:ascii="Times New Roman" w:hAnsi="Times New Roman"/>
          <w:sz w:val="24"/>
          <w:szCs w:val="24"/>
        </w:rPr>
        <w:t>31.05.03</w:t>
      </w:r>
      <w:r w:rsidR="005B6034" w:rsidRPr="005B6034">
        <w:rPr>
          <w:rFonts w:ascii="Times New Roman" w:hAnsi="Times New Roman"/>
          <w:sz w:val="24"/>
          <w:szCs w:val="24"/>
        </w:rPr>
        <w:t xml:space="preserve"> </w:t>
      </w:r>
      <w:r w:rsidR="005B6034">
        <w:rPr>
          <w:rFonts w:ascii="Times New Roman" w:hAnsi="Times New Roman"/>
          <w:sz w:val="24"/>
          <w:szCs w:val="24"/>
        </w:rPr>
        <w:t>«</w:t>
      </w:r>
      <w:r w:rsidR="007700DE">
        <w:rPr>
          <w:rFonts w:ascii="Times New Roman" w:hAnsi="Times New Roman" w:cs="Times New Roman"/>
          <w:sz w:val="24"/>
          <w:szCs w:val="24"/>
        </w:rPr>
        <w:t xml:space="preserve">Стоматология (уровень </w:t>
      </w:r>
      <w:proofErr w:type="spellStart"/>
      <w:r w:rsidR="007700DE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7700DE">
        <w:rPr>
          <w:rFonts w:ascii="Times New Roman" w:hAnsi="Times New Roman" w:cs="Times New Roman"/>
          <w:sz w:val="24"/>
          <w:szCs w:val="24"/>
        </w:rPr>
        <w:t>)</w:t>
      </w:r>
      <w:r w:rsidR="005B6034">
        <w:rPr>
          <w:rFonts w:ascii="Times New Roman" w:hAnsi="Times New Roman" w:cs="Times New Roman"/>
          <w:sz w:val="24"/>
          <w:szCs w:val="24"/>
        </w:rPr>
        <w:t>»</w:t>
      </w:r>
    </w:p>
    <w:p w:rsidR="008A4EC8" w:rsidRDefault="00531FD8" w:rsidP="0077141F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6D2B86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EA2EA9">
        <w:rPr>
          <w:rFonts w:ascii="Times New Roman" w:hAnsi="Times New Roman" w:cs="Times New Roman"/>
          <w:sz w:val="24"/>
          <w:szCs w:val="24"/>
        </w:rPr>
        <w:t>модуль явл</w:t>
      </w:r>
      <w:r w:rsidR="00EA2EA9">
        <w:rPr>
          <w:rFonts w:ascii="Times New Roman" w:hAnsi="Times New Roman" w:cs="Times New Roman"/>
          <w:sz w:val="24"/>
          <w:szCs w:val="24"/>
        </w:rPr>
        <w:t>я</w:t>
      </w:r>
      <w:r w:rsidR="00EA2EA9">
        <w:rPr>
          <w:rFonts w:ascii="Times New Roman" w:hAnsi="Times New Roman" w:cs="Times New Roman"/>
          <w:sz w:val="24"/>
          <w:szCs w:val="24"/>
        </w:rPr>
        <w:t>ется частью дисциплины «Стоматология»,</w:t>
      </w:r>
      <w:r w:rsidR="00EA2EA9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EA2EA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образования. Модуль в</w:t>
      </w:r>
      <w:r w:rsidR="00EA2EA9" w:rsidRPr="00DE7305">
        <w:rPr>
          <w:rFonts w:ascii="Times New Roman" w:hAnsi="Times New Roman" w:cs="Times New Roman"/>
          <w:sz w:val="24"/>
          <w:szCs w:val="24"/>
        </w:rPr>
        <w:t>ключен в базовую часть профессионал</w:t>
      </w:r>
      <w:r w:rsidR="00EA2EA9" w:rsidRPr="00DE7305">
        <w:rPr>
          <w:rFonts w:ascii="Times New Roman" w:hAnsi="Times New Roman" w:cs="Times New Roman"/>
          <w:sz w:val="24"/>
          <w:szCs w:val="24"/>
        </w:rPr>
        <w:t>ь</w:t>
      </w:r>
      <w:r w:rsidR="00EA2EA9" w:rsidRPr="00DE7305">
        <w:rPr>
          <w:rFonts w:ascii="Times New Roman" w:hAnsi="Times New Roman" w:cs="Times New Roman"/>
          <w:sz w:val="24"/>
          <w:szCs w:val="24"/>
        </w:rPr>
        <w:t>ного цикла</w:t>
      </w:r>
      <w:r w:rsidR="00EA2EA9">
        <w:rPr>
          <w:rFonts w:ascii="Times New Roman" w:hAnsi="Times New Roman" w:cs="Times New Roman"/>
          <w:sz w:val="24"/>
          <w:szCs w:val="24"/>
        </w:rPr>
        <w:t xml:space="preserve"> С.3</w:t>
      </w:r>
      <w:r w:rsidR="00EA2EA9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EA2EA9">
        <w:rPr>
          <w:rFonts w:ascii="Times New Roman" w:hAnsi="Times New Roman" w:cs="Times New Roman"/>
          <w:sz w:val="24"/>
          <w:szCs w:val="24"/>
        </w:rPr>
        <w:t>Модуль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изучается на </w:t>
      </w:r>
      <w:r w:rsidR="00D20271">
        <w:rPr>
          <w:rFonts w:ascii="Times New Roman" w:hAnsi="Times New Roman" w:cs="Times New Roman"/>
          <w:sz w:val="24"/>
          <w:szCs w:val="24"/>
        </w:rPr>
        <w:t>5</w:t>
      </w:r>
      <w:r w:rsidR="0077141F" w:rsidRPr="006D2B86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курсе, </w:t>
      </w:r>
      <w:r w:rsidR="00D20271">
        <w:rPr>
          <w:rFonts w:ascii="Times New Roman" w:hAnsi="Times New Roman" w:cs="Times New Roman"/>
          <w:sz w:val="24"/>
          <w:szCs w:val="24"/>
        </w:rPr>
        <w:t>9-10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606423">
        <w:rPr>
          <w:rFonts w:ascii="Times New Roman" w:hAnsi="Times New Roman" w:cs="Times New Roman"/>
          <w:sz w:val="24"/>
          <w:szCs w:val="24"/>
        </w:rPr>
        <w:t>ы</w:t>
      </w:r>
      <w:r w:rsidR="006D2B86">
        <w:rPr>
          <w:rFonts w:ascii="Times New Roman" w:hAnsi="Times New Roman" w:cs="Times New Roman"/>
          <w:sz w:val="24"/>
          <w:szCs w:val="24"/>
        </w:rPr>
        <w:t>.</w:t>
      </w:r>
    </w:p>
    <w:p w:rsidR="005231F2" w:rsidRPr="005231F2" w:rsidRDefault="00986831" w:rsidP="0077141F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31F2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6D2B86">
        <w:rPr>
          <w:rFonts w:ascii="Times New Roman" w:hAnsi="Times New Roman" w:cs="Times New Roman"/>
          <w:b/>
          <w:sz w:val="24"/>
          <w:szCs w:val="24"/>
        </w:rPr>
        <w:t>модуля</w:t>
      </w:r>
      <w:r w:rsidRPr="005231F2">
        <w:rPr>
          <w:rFonts w:ascii="Times New Roman" w:hAnsi="Times New Roman" w:cs="Times New Roman"/>
          <w:sz w:val="24"/>
          <w:szCs w:val="24"/>
        </w:rPr>
        <w:t xml:space="preserve">: </w:t>
      </w:r>
      <w:r w:rsidR="005231F2" w:rsidRPr="005231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приобретение студентами практических и </w:t>
      </w:r>
      <w:r w:rsidR="005231F2" w:rsidRPr="005231F2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теоретических знанийпо челюстно-лицевому протезированию, необходимых для работы в амбулаторно-поликлинических и стационарных условиях</w:t>
      </w:r>
      <w:proofErr w:type="gramEnd"/>
    </w:p>
    <w:p w:rsidR="00881E75" w:rsidRDefault="00531FD8" w:rsidP="0077141F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231F2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6D2B86">
        <w:rPr>
          <w:rFonts w:ascii="Times New Roman" w:hAnsi="Times New Roman" w:cs="Times New Roman"/>
          <w:b/>
          <w:sz w:val="24"/>
          <w:szCs w:val="24"/>
        </w:rPr>
        <w:t>модуля</w:t>
      </w:r>
      <w:r w:rsidRPr="005231F2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5231F2">
        <w:rPr>
          <w:rFonts w:ascii="Times New Roman" w:hAnsi="Times New Roman" w:cs="Times New Roman"/>
          <w:sz w:val="24"/>
          <w:szCs w:val="24"/>
        </w:rPr>
        <w:t>ование следующих</w:t>
      </w:r>
      <w:r w:rsidR="00881E75" w:rsidRPr="005231F2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5231F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0"/>
        <w:gridCol w:w="1161"/>
        <w:gridCol w:w="7979"/>
      </w:tblGrid>
      <w:tr w:rsidR="007700DE" w:rsidTr="007700DE">
        <w:trPr>
          <w:trHeight w:val="3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9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7700DE" w:rsidTr="007700DE">
        <w:trPr>
          <w:trHeight w:val="48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DE" w:rsidRDefault="007700DE">
            <w:pPr>
              <w:widowControl w:val="0"/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0" w:lineRule="atLeast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0" w:lineRule="atLeast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учётом основных требований информационной безопасности 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реализовать этические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деонтологические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принципы в профессиональной деятельности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и готовностью анализировать результаты собственной деятельности для предотвращения профессиональных ошибок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медицинской документации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ОПК-9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сбору и анализу жалоб пациента, данных его анамнеза, результатов осмотра, лабораторных, инструментальных,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патолого-анатомических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иных исследований в целях распознавания состояния или установления факта наличия или отсутствия стоматологического заболевания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 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определению тактики ведения больных с различными стоматологическими заболеваниями</w:t>
            </w:r>
            <w:bookmarkStart w:id="0" w:name="_GoBack"/>
            <w:bookmarkEnd w:id="0"/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и лечению пациентов со стоматологическими заболеваниями в амбулаторных условиях и условиях дневного стационара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обучению населения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стоматологических заболеваний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просветительской деятельности по устранению факторов риска и формированию навыков здорового образа жизни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</w:tr>
      <w:tr w:rsidR="007700DE" w:rsidTr="007700DE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DE" w:rsidRDefault="007700DE" w:rsidP="007700DE">
            <w:pPr>
              <w:widowControl w:val="0"/>
              <w:numPr>
                <w:ilvl w:val="0"/>
                <w:numId w:val="11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DE" w:rsidRDefault="007700DE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анализу и публичному представлению медицинской информации на основе доказательной медицины</w:t>
            </w:r>
          </w:p>
        </w:tc>
      </w:tr>
    </w:tbl>
    <w:p w:rsidR="007700DE" w:rsidRDefault="007700DE" w:rsidP="007700DE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Default="00531FD8" w:rsidP="0077141F">
      <w:pPr>
        <w:pStyle w:val="a3"/>
        <w:tabs>
          <w:tab w:val="left" w:pos="142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78390B" w:rsidRPr="0078390B" w:rsidRDefault="0078390B" w:rsidP="0077141F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b/>
          <w:i/>
          <w:sz w:val="24"/>
          <w:szCs w:val="24"/>
        </w:rPr>
        <w:t>Знать: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и оснащение стоматологических отделений медицинских организаций; санитарно-гигиенические требования к организации стоматологических лечебно-профилактических учреждений;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организацию работы младшего и среднего медицинского персонала в лечебно-профилактических учреждениях, в том числе стоматологических организациях; 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должностные обязанности и права врача по оказанию стоматологической и неотложной медицинской помощи; 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и правила в получении информированного добровольного согласия пациента на диагностические и лечебные процедуры;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типовой учетно-отчетной медицинской документации в стоматологических лечебно-профилактических учреждениях;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выписывания рецептов и приема лекарственных препаратов; контроль за медикаментозным лечением; 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принципы диспансерного стоматологического наблюдения различных возрастно-половых и социальных групп населения; 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профилактику стоматологических заболеваний в полном объеме, направленную на укрепление здоровья населения;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принципы и методы амбулаторного лечения стоматологических заболеваний; 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организации стоматологического лечения в детском возрасте;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социальных и биологических факторов в развитии болезней и их влияние на развитие стоматологических заболеваний; взаимосвязь между стоматологическим здоровьем, питанием, общим здоровьем, заболеваниями, применением лекарственных препаратов;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схему обследования стоматологического больного, основные и дополнительные методы обследования, правила заполнения медицинской карты амбулаторного больного;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материально-техническое обеспечение и оборудование стоматологических лечебно-профилактических учреждений;</w:t>
      </w:r>
    </w:p>
    <w:p w:rsidR="0078390B" w:rsidRPr="0078390B" w:rsidRDefault="0078390B" w:rsidP="0077141F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обследования, диагностики, прогнозирования, профилактики и лечения основных стоматологических заболеваний у детей и взрослых:</w:t>
      </w:r>
    </w:p>
    <w:p w:rsidR="0078390B" w:rsidRPr="0078390B" w:rsidRDefault="0078390B" w:rsidP="0077141F">
      <w:pPr>
        <w:pStyle w:val="a3"/>
        <w:numPr>
          <w:ilvl w:val="0"/>
          <w:numId w:val="9"/>
        </w:numPr>
        <w:tabs>
          <w:tab w:val="num" w:pos="34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осложнений и ошибок, возникающие при лечении основных стоматологических заболеваний у детей и взрослых, способы их профилактики и устранения;</w:t>
      </w:r>
    </w:p>
    <w:p w:rsidR="0078390B" w:rsidRPr="0078390B" w:rsidRDefault="0078390B" w:rsidP="0077141F">
      <w:pPr>
        <w:pStyle w:val="a3"/>
        <w:numPr>
          <w:ilvl w:val="0"/>
          <w:numId w:val="9"/>
        </w:numPr>
        <w:tabs>
          <w:tab w:val="num" w:pos="34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онкологической настороженности в стоматологической практике;</w:t>
      </w:r>
    </w:p>
    <w:p w:rsidR="0078390B" w:rsidRPr="0078390B" w:rsidRDefault="0078390B" w:rsidP="00771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b/>
          <w:i/>
          <w:sz w:val="24"/>
          <w:szCs w:val="24"/>
        </w:rPr>
        <w:t>Уметь: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собрать полный медицинский анамнез пациента, включая данные о состоянии полости рта и зубов; провести опрос больного, его родственников (собрать биологическую, медицинскую, психологическую и социальную информацию);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провести </w:t>
      </w:r>
      <w:proofErr w:type="spellStart"/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физикальное</w:t>
      </w:r>
      <w:proofErr w:type="spellEnd"/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обследование пациента различного возраста (осмотр, пальпация, аускультация, измерение АД, определение характеристик пульса, частоты дыхания и т.п.), направить его на лабораторно-инструментальное обследование, на консультацию к специалистам; 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 объем необходимых для установления диагноза лабораторных и инструментальных исследований, информативных для установления диагноза;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полученные результаты лабораторных и инструментальных методов обследования;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функциональные изменения зубочелюстно-лицевого аппарата при различных соматических и инфекционных заболеваниях и патологических процессах; 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выбирать оптимальный вариант лечения, назначать медикаментозную терапию с учетом </w:t>
      </w:r>
      <w:proofErr w:type="spellStart"/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фармакокинетики</w:t>
      </w:r>
      <w:proofErr w:type="spellEnd"/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фармакодинамики</w:t>
      </w:r>
      <w:proofErr w:type="spellEnd"/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лекарств, предупреждения их нежелательных побочных действий; рекомендовать немедикаментозную терапию, провести реабилитационные мероприятия при заболеваниях челюстно-лицевой области;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медицинскую документацию различного характера в стоматологических амбулаторно-поликлинических и стационарных учреждениях;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работу по пропаганде стоматологического здоровья, направленную на предупреждение наследственных и врожденных заболеваний;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законодательством при экспертизе временной нетрудоспособности, критериев выздоровления и восстановления трудоспособности и проведение диспансеризации;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оптимальный уровень взаимоотношений с пациентом, коллегами и медицинским персоналом на приеме в поликлинике, при проведении санпросвет работы, экспертизы трудоспособности;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приемы реанимации и первой помощи при неотложных состояниях, в стоматологической практике и других экстренных ситуациях;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 состояние, требующее неотложной стоматологической и медицинской помощи, выходящей за рамки компетенции стоматолога общей практики, и немедленно обратиться к соответствующим специалистам;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методы профилактики (на основе доказательной медицины), устанавливать причинно-следственные связи изменений состояния здоровья (в том числе стоматологического) от воздействия факторов среды обитания;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методы асептики и антисептики, медицинский инструментарий, медикаментозные средства в </w:t>
      </w:r>
      <w:r w:rsidRPr="007839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лабораторно-диагностических и лечебных целях;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профилактику и лечение болезней твердых тканей зубов, пульпы и периапикальных тканей, пародонта, слизистой оболочки полости рта у пациентов различного возраста и при необходимости направить пациента к соответствующим специалистам; 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разработать комплексный план лечения стоматологической патологии у детей и взрослых с учетом общесоматического заболевания и дальнейшей реабилитации пациента;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проводить профилактику и лечение возможных осложнений при основных стоматологических заболеваний;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определять этиологические факторы, приведших к аномалиям зубов, зубных рядов и нарушениям функциональной окклюзии;</w:t>
      </w:r>
    </w:p>
    <w:p w:rsidR="0078390B" w:rsidRPr="0078390B" w:rsidRDefault="0078390B" w:rsidP="0077141F">
      <w:pPr>
        <w:pStyle w:val="a3"/>
        <w:numPr>
          <w:ilvl w:val="0"/>
          <w:numId w:val="8"/>
        </w:numPr>
        <w:tabs>
          <w:tab w:val="num" w:pos="-7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оценивать качество медицинской, стоматологической помощи, состояние здоровья населения, влияние на него факторов образа жизни, окружающей среды и организации медицинской помощи.</w:t>
      </w:r>
    </w:p>
    <w:p w:rsidR="0078390B" w:rsidRPr="0078390B" w:rsidRDefault="0078390B" w:rsidP="00771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8390B">
        <w:rPr>
          <w:rFonts w:ascii="Times New Roman" w:eastAsia="Times New Roman" w:hAnsi="Times New Roman" w:cs="Times New Roman"/>
          <w:b/>
          <w:i/>
          <w:sz w:val="24"/>
          <w:szCs w:val="24"/>
        </w:rPr>
        <w:t>Демонстрировать способность и готовность (владеть)</w:t>
      </w:r>
      <w:r w:rsidRPr="0078390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методами ведения медицинской учетно-отчетной документации в лечебно-профилактических учреждениях;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методами оценки состояния стоматологического здоровья населения различных возрастно-половых групп;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методами организации первичной профилактики стоматологических заболеваний в любой возрастной группе, формирования мотивации к поддержанию стоматологического здоровья отдельных лиц, семей и общества, в том числе, к отказу от вредных привычек, влияющих на состояние полости рта;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методами клинического обследованиями челюстно-лицевой области детей и взрослых;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интерпретацией результатов лабораторных, инструментальных, рентгенологических методов диагностики, у пациентов разного возраста;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алгоритмом выполнения основных врачебных диагностических и лечебных мероприятий по оказанию первой врачебной помощи пострадавшим при неотложных и угрожающих жизни состояниях;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методами диагностики и лечения основных стоматологических заболеваний у детей и взрослых в соответствие с нормативными документами, определяющими порядок ведения пациентов;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приёмами оказания первой медицинской помощи при травмах челюстно-лицевой области;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методами профилактики и лечения ошибок и осложнений, возникающих при проведении стоматологических манипуляций;</w:t>
      </w:r>
    </w:p>
    <w:p w:rsidR="0078390B" w:rsidRPr="0078390B" w:rsidRDefault="0078390B" w:rsidP="0077141F">
      <w:pPr>
        <w:pStyle w:val="a3"/>
        <w:numPr>
          <w:ilvl w:val="0"/>
          <w:numId w:val="10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методами диспансеризации в стоматологии у детей и взрослых.</w:t>
      </w:r>
    </w:p>
    <w:p w:rsidR="00531FD8" w:rsidRPr="00DE7305" w:rsidRDefault="008A4EC8" w:rsidP="0077141F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>Трудоемкость и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="006D2B86">
        <w:rPr>
          <w:rFonts w:ascii="Times New Roman" w:hAnsi="Times New Roman" w:cs="Times New Roman"/>
          <w:b/>
          <w:sz w:val="24"/>
          <w:szCs w:val="24"/>
        </w:rPr>
        <w:t>модуля</w:t>
      </w:r>
      <w:r w:rsidR="005B04E4">
        <w:rPr>
          <w:rFonts w:ascii="Times New Roman" w:hAnsi="Times New Roman" w:cs="Times New Roman"/>
          <w:sz w:val="24"/>
          <w:szCs w:val="24"/>
        </w:rPr>
        <w:t xml:space="preserve"> – </w:t>
      </w:r>
      <w:r w:rsidR="0078390B">
        <w:rPr>
          <w:rFonts w:ascii="Times New Roman" w:hAnsi="Times New Roman" w:cs="Times New Roman"/>
          <w:sz w:val="24"/>
          <w:szCs w:val="24"/>
        </w:rPr>
        <w:t>5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78390B">
        <w:rPr>
          <w:rFonts w:ascii="Times New Roman" w:hAnsi="Times New Roman" w:cs="Times New Roman"/>
          <w:sz w:val="24"/>
          <w:szCs w:val="24"/>
        </w:rPr>
        <w:t>х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единиц (</w:t>
      </w:r>
      <w:r w:rsidR="003F55BE">
        <w:rPr>
          <w:rFonts w:ascii="Times New Roman" w:hAnsi="Times New Roman" w:cs="Times New Roman"/>
          <w:sz w:val="24"/>
          <w:szCs w:val="24"/>
        </w:rPr>
        <w:t>1</w:t>
      </w:r>
      <w:r w:rsidR="005B04E4">
        <w:rPr>
          <w:rFonts w:ascii="Times New Roman" w:hAnsi="Times New Roman" w:cs="Times New Roman"/>
          <w:sz w:val="24"/>
          <w:szCs w:val="24"/>
        </w:rPr>
        <w:t>8</w:t>
      </w:r>
      <w:r w:rsidR="003F55BE">
        <w:rPr>
          <w:rFonts w:ascii="Times New Roman" w:hAnsi="Times New Roman" w:cs="Times New Roman"/>
          <w:sz w:val="24"/>
          <w:szCs w:val="24"/>
        </w:rPr>
        <w:t>0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3F55BE">
        <w:rPr>
          <w:rFonts w:ascii="Times New Roman" w:hAnsi="Times New Roman" w:cs="Times New Roman"/>
          <w:sz w:val="24"/>
          <w:szCs w:val="24"/>
        </w:rPr>
        <w:t>34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8D2343">
        <w:rPr>
          <w:rFonts w:ascii="Times New Roman" w:hAnsi="Times New Roman" w:cs="Times New Roman"/>
          <w:sz w:val="24"/>
          <w:szCs w:val="24"/>
        </w:rPr>
        <w:t>80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8D2343">
        <w:rPr>
          <w:rFonts w:ascii="Times New Roman" w:hAnsi="Times New Roman" w:cs="Times New Roman"/>
          <w:sz w:val="24"/>
          <w:szCs w:val="24"/>
        </w:rPr>
        <w:t>57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экзамен</w:t>
      </w:r>
      <w:r w:rsidR="008D2343">
        <w:rPr>
          <w:rFonts w:ascii="Times New Roman" w:hAnsi="Times New Roman" w:cs="Times New Roman"/>
          <w:sz w:val="24"/>
          <w:szCs w:val="24"/>
        </w:rPr>
        <w:t xml:space="preserve"> – в 10 семестре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1FD8" w:rsidRPr="00DE7305" w:rsidRDefault="00531FD8" w:rsidP="0077141F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671271">
        <w:rPr>
          <w:rFonts w:ascii="Times New Roman" w:hAnsi="Times New Roman" w:cs="Times New Roman"/>
          <w:sz w:val="24"/>
          <w:szCs w:val="24"/>
        </w:rPr>
        <w:t>Текущий и итоговый тестовый контроль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5B04E4">
        <w:rPr>
          <w:rFonts w:ascii="Times New Roman" w:hAnsi="Times New Roman" w:cs="Times New Roman"/>
          <w:sz w:val="24"/>
          <w:szCs w:val="24"/>
        </w:rPr>
        <w:t>10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77141F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</w:p>
    <w:p w:rsidR="00BA0E3C" w:rsidRDefault="00BA0E3C" w:rsidP="00BA0E3C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976"/>
        <w:gridCol w:w="5841"/>
      </w:tblGrid>
      <w:tr w:rsidR="00BA0E3C" w:rsidRPr="00BA0E3C" w:rsidTr="00BA0E3C">
        <w:trPr>
          <w:trHeight w:val="1009"/>
        </w:trPr>
        <w:tc>
          <w:tcPr>
            <w:tcW w:w="534" w:type="dxa"/>
            <w:shd w:val="clear" w:color="auto" w:fill="auto"/>
          </w:tcPr>
          <w:p w:rsidR="00BA0E3C" w:rsidRPr="00BA0E3C" w:rsidRDefault="00BA0E3C" w:rsidP="00BA0E3C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2976" w:type="dxa"/>
            <w:shd w:val="clear" w:color="auto" w:fill="auto"/>
          </w:tcPr>
          <w:p w:rsidR="00BA0E3C" w:rsidRPr="00BA0E3C" w:rsidRDefault="00BA0E3C" w:rsidP="00BA0E3C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раздела учебной дисциплины</w:t>
            </w:r>
          </w:p>
        </w:tc>
        <w:tc>
          <w:tcPr>
            <w:tcW w:w="5841" w:type="dxa"/>
            <w:shd w:val="clear" w:color="auto" w:fill="auto"/>
          </w:tcPr>
          <w:p w:rsidR="00BA0E3C" w:rsidRPr="00BA0E3C" w:rsidRDefault="00BA0E3C" w:rsidP="00BA0E3C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раздела в дидактических единицах (темы разделов)</w:t>
            </w:r>
          </w:p>
        </w:tc>
      </w:tr>
      <w:tr w:rsidR="00BA0E3C" w:rsidRPr="00BA0E3C" w:rsidTr="00BA0E3C">
        <w:trPr>
          <w:trHeight w:val="399"/>
        </w:trPr>
        <w:tc>
          <w:tcPr>
            <w:tcW w:w="534" w:type="dxa"/>
            <w:shd w:val="clear" w:color="auto" w:fill="auto"/>
          </w:tcPr>
          <w:p w:rsidR="00BA0E3C" w:rsidRPr="00BA0E3C" w:rsidRDefault="00BA0E3C" w:rsidP="00BA0E3C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BA0E3C" w:rsidRPr="00BA0E3C" w:rsidRDefault="00BA0E3C" w:rsidP="00BA0E3C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41" w:type="dxa"/>
            <w:shd w:val="clear" w:color="auto" w:fill="auto"/>
          </w:tcPr>
          <w:p w:rsidR="00BA0E3C" w:rsidRPr="00BA0E3C" w:rsidRDefault="00BA0E3C" w:rsidP="00BA0E3C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A0E3C" w:rsidRPr="00BA0E3C" w:rsidTr="00BA0E3C">
        <w:trPr>
          <w:trHeight w:val="2092"/>
        </w:trPr>
        <w:tc>
          <w:tcPr>
            <w:tcW w:w="534" w:type="dxa"/>
            <w:shd w:val="clear" w:color="auto" w:fill="auto"/>
            <w:vAlign w:val="center"/>
          </w:tcPr>
          <w:p w:rsidR="00BA0E3C" w:rsidRPr="00BA0E3C" w:rsidRDefault="00BA0E3C" w:rsidP="00BA0E3C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0E3C" w:rsidRPr="00BA0E3C" w:rsidRDefault="00BA0E3C" w:rsidP="00BA0E3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  <w:t>Организация стоматологической поликлиники. Медицинская учетно-отчетная документация.</w:t>
            </w:r>
          </w:p>
          <w:p w:rsidR="00BA0E3C" w:rsidRPr="00BA0E3C" w:rsidRDefault="00BA0E3C" w:rsidP="00BA0E3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E3C" w:rsidRPr="00BA0E3C" w:rsidRDefault="00BA0E3C" w:rsidP="00BA0E3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  <w:t>Организация стоматологической поликлиники. Оснащение стоматологического кабинета. Санитарно-гигиенические нормативы. Дезинфекция и стерилизация в стоматологии. Медицинская учетно-отчетная документация.</w:t>
            </w:r>
          </w:p>
          <w:p w:rsidR="00BA0E3C" w:rsidRPr="00BA0E3C" w:rsidRDefault="00BA0E3C" w:rsidP="00BA0E3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  <w:t>Протоколы ведения больных. Медико-экономические стандарты.</w:t>
            </w:r>
          </w:p>
        </w:tc>
      </w:tr>
      <w:tr w:rsidR="00BA0E3C" w:rsidRPr="00BA0E3C" w:rsidTr="00BA0E3C">
        <w:tc>
          <w:tcPr>
            <w:tcW w:w="534" w:type="dxa"/>
            <w:shd w:val="clear" w:color="auto" w:fill="auto"/>
            <w:vAlign w:val="center"/>
          </w:tcPr>
          <w:p w:rsidR="00BA0E3C" w:rsidRPr="00BA0E3C" w:rsidRDefault="00BA0E3C" w:rsidP="00BA0E3C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0E3C" w:rsidRPr="00BA0E3C" w:rsidRDefault="00BA0E3C" w:rsidP="00BA0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Профилактика и комплексная реабилитация основных стоматологических заболеваний в возрастном аспекте.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E3C" w:rsidRPr="00BA0E3C" w:rsidRDefault="00BA0E3C" w:rsidP="00BA0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Эпидемиология основных стоматологических заболеваний. Принципы планирования профилактических программ. Современные технологии диагностики и комплексный подход к лечению и профилактике кариеса и некариозных заболеваний зубов. Возрастные особенности. Современные методы диагностики заболеваний </w:t>
            </w:r>
            <w:proofErr w:type="spellStart"/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эндодонта</w:t>
            </w:r>
            <w:proofErr w:type="spellEnd"/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Клинические аспекты первичного и повторного эндодонтического лечения. Профилактика осложнений кариеса зубов. Современные подходы к организации </w:t>
            </w:r>
            <w:proofErr w:type="spellStart"/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пародонтологической</w:t>
            </w:r>
            <w:proofErr w:type="spellEnd"/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помощи населению. Терапевтическая, хирургическая и ортодонтическая подготовка к протезированию.</w:t>
            </w:r>
          </w:p>
        </w:tc>
      </w:tr>
      <w:tr w:rsidR="00BA0E3C" w:rsidRPr="00BA0E3C" w:rsidTr="00BA0E3C">
        <w:tc>
          <w:tcPr>
            <w:tcW w:w="534" w:type="dxa"/>
            <w:shd w:val="clear" w:color="auto" w:fill="auto"/>
            <w:vAlign w:val="center"/>
          </w:tcPr>
          <w:p w:rsidR="00BA0E3C" w:rsidRPr="00BA0E3C" w:rsidRDefault="00BA0E3C" w:rsidP="00BA0E3C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0E3C" w:rsidRPr="00BA0E3C" w:rsidRDefault="00BA0E3C" w:rsidP="00BA0E3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  <w:t>Заболевания слизистой оболочки полости рта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E3C" w:rsidRPr="00BA0E3C" w:rsidRDefault="00BA0E3C" w:rsidP="00BA0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Клинические проблемы заболеваний СОПР. </w:t>
            </w:r>
            <w:proofErr w:type="spellStart"/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Этиопатогенетический</w:t>
            </w:r>
            <w:proofErr w:type="spellEnd"/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подход к планированию лечения заболеваний слизистой оболочки полости рта у детей</w:t>
            </w:r>
          </w:p>
        </w:tc>
      </w:tr>
      <w:tr w:rsidR="00BA0E3C" w:rsidRPr="00BA0E3C" w:rsidTr="00BA0E3C">
        <w:tc>
          <w:tcPr>
            <w:tcW w:w="534" w:type="dxa"/>
            <w:shd w:val="clear" w:color="auto" w:fill="auto"/>
            <w:vAlign w:val="center"/>
          </w:tcPr>
          <w:p w:rsidR="00BA0E3C" w:rsidRPr="00BA0E3C" w:rsidRDefault="00BA0E3C" w:rsidP="00BA0E3C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0E3C" w:rsidRPr="00BA0E3C" w:rsidRDefault="00BA0E3C" w:rsidP="00BA0E3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реабилитации пациентов с врожденной патологией челюстно-лицевой области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E3C" w:rsidRPr="00BA0E3C" w:rsidRDefault="00BA0E3C" w:rsidP="00BA0E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реабилитации пациентов с врожденной патологией челюстно-лицевой области</w:t>
            </w:r>
          </w:p>
        </w:tc>
      </w:tr>
      <w:tr w:rsidR="00BA0E3C" w:rsidRPr="00BA0E3C" w:rsidTr="00BA0E3C">
        <w:tc>
          <w:tcPr>
            <w:tcW w:w="534" w:type="dxa"/>
            <w:shd w:val="clear" w:color="auto" w:fill="auto"/>
            <w:vAlign w:val="center"/>
          </w:tcPr>
          <w:p w:rsidR="00BA0E3C" w:rsidRPr="00BA0E3C" w:rsidRDefault="00BA0E3C" w:rsidP="00BA0E3C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0E3C" w:rsidRPr="00BA0E3C" w:rsidRDefault="00BA0E3C" w:rsidP="00BA0E3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  <w:t>Оценка состояния ортопедических конструкций, осложнения в процессе пользования, ошибки при изготовлении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E3C" w:rsidRPr="00BA0E3C" w:rsidRDefault="00BA0E3C" w:rsidP="00BA0E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Оценка состояния несъемных конструкций. Осложнения при пользовании несъемными конструкциями. Ошибки при изготовлении несъемных конструкций: вкладок, </w:t>
            </w:r>
            <w:proofErr w:type="spellStart"/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виниров</w:t>
            </w:r>
            <w:proofErr w:type="spellEnd"/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штифтовых конструкций, коронок, мостовидных протезов. Оценка состояния съемных конструкций. Осложнения при пользовании съемными конструкциями. Ошибки при изготовлении съемных конструкций: частичных пластиночных протезов, полных пластиночных протезов, эластичных протезов, бюгельных протезов, сочетанных конструкций протезов. Диагностические, тактические и технические ошибки при ортопедическом лечении больных с заболеваниями пародонта.Особенности повторного съемного и несъемного протезирования. Особенности ортопедического лечения больных при </w:t>
            </w:r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хронических воспалительных процессах полости рта.</w:t>
            </w:r>
          </w:p>
        </w:tc>
      </w:tr>
      <w:tr w:rsidR="00BA0E3C" w:rsidRPr="00BA0E3C" w:rsidTr="00BA0E3C">
        <w:tc>
          <w:tcPr>
            <w:tcW w:w="534" w:type="dxa"/>
            <w:shd w:val="clear" w:color="auto" w:fill="auto"/>
            <w:vAlign w:val="center"/>
          </w:tcPr>
          <w:p w:rsidR="00BA0E3C" w:rsidRPr="00BA0E3C" w:rsidRDefault="00BA0E3C" w:rsidP="00BA0E3C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0E3C" w:rsidRPr="00BA0E3C" w:rsidRDefault="00BA0E3C" w:rsidP="00BA0E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  <w:t>Неотложные состояния в стоматологии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E3C" w:rsidRPr="00BA0E3C" w:rsidRDefault="00BA0E3C" w:rsidP="00BA0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Неотложные состояния в стоматологии. Этиология, диагностика, клиника, экстренные и профилактические мероприятия.</w:t>
            </w:r>
          </w:p>
        </w:tc>
      </w:tr>
      <w:tr w:rsidR="00BA0E3C" w:rsidRPr="00BA0E3C" w:rsidTr="00BA0E3C">
        <w:tc>
          <w:tcPr>
            <w:tcW w:w="534" w:type="dxa"/>
            <w:shd w:val="clear" w:color="auto" w:fill="auto"/>
            <w:vAlign w:val="center"/>
          </w:tcPr>
          <w:p w:rsidR="00BA0E3C" w:rsidRPr="00BA0E3C" w:rsidRDefault="00BA0E3C" w:rsidP="00BA0E3C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0E3C" w:rsidRPr="00BA0E3C" w:rsidRDefault="00BA0E3C" w:rsidP="00BA0E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Психологические аспекты стоматологической помощи.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E3C" w:rsidRPr="00BA0E3C" w:rsidRDefault="00BA0E3C" w:rsidP="00BA0E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Мотивация пациента на лечение и поддержание стоматологического здоровья. Психотерапевтическая подготовка к ортопедическому лечению. Особенности подготовки к ортопедическому лечению и адаптации к протезам в зависимости от типа личности пациента.</w:t>
            </w:r>
          </w:p>
        </w:tc>
      </w:tr>
    </w:tbl>
    <w:p w:rsidR="00BA0E3C" w:rsidRDefault="00BA0E3C" w:rsidP="00BA0E3C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E3C" w:rsidRPr="00BA0E3C" w:rsidRDefault="00BA0E3C" w:rsidP="00BA0E3C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1F2" w:rsidRDefault="005231F2" w:rsidP="005231F2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1F2" w:rsidRPr="005231F2" w:rsidRDefault="005231F2" w:rsidP="005231F2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231" w:rsidRDefault="00FA7231" w:rsidP="00FA723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723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0C3F"/>
    <w:multiLevelType w:val="hybridMultilevel"/>
    <w:tmpl w:val="4F746AFC"/>
    <w:lvl w:ilvl="0" w:tplc="072A4FC8">
      <w:numFmt w:val="bullet"/>
      <w:pStyle w:val="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117C90"/>
    <w:multiLevelType w:val="hybridMultilevel"/>
    <w:tmpl w:val="C35E5FC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ED77C3"/>
    <w:multiLevelType w:val="hybridMultilevel"/>
    <w:tmpl w:val="AE0E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57D5B"/>
    <w:multiLevelType w:val="hybridMultilevel"/>
    <w:tmpl w:val="D9AAFD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9">
    <w:nsid w:val="743B46CE"/>
    <w:multiLevelType w:val="hybridMultilevel"/>
    <w:tmpl w:val="05BEA3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11062B"/>
    <w:rsid w:val="0016561B"/>
    <w:rsid w:val="00173C07"/>
    <w:rsid w:val="001749B8"/>
    <w:rsid w:val="0025793B"/>
    <w:rsid w:val="00344E70"/>
    <w:rsid w:val="00356302"/>
    <w:rsid w:val="00391ADD"/>
    <w:rsid w:val="003F55BE"/>
    <w:rsid w:val="00441638"/>
    <w:rsid w:val="00487511"/>
    <w:rsid w:val="00490CED"/>
    <w:rsid w:val="005231F2"/>
    <w:rsid w:val="005270FA"/>
    <w:rsid w:val="00531FD8"/>
    <w:rsid w:val="00553A9F"/>
    <w:rsid w:val="005602C2"/>
    <w:rsid w:val="005B04E4"/>
    <w:rsid w:val="005B6034"/>
    <w:rsid w:val="005B6053"/>
    <w:rsid w:val="005D702D"/>
    <w:rsid w:val="00606423"/>
    <w:rsid w:val="00634E09"/>
    <w:rsid w:val="006427FD"/>
    <w:rsid w:val="00671271"/>
    <w:rsid w:val="00697AC1"/>
    <w:rsid w:val="006D0E50"/>
    <w:rsid w:val="006D2B86"/>
    <w:rsid w:val="006F600D"/>
    <w:rsid w:val="007700DE"/>
    <w:rsid w:val="0077141F"/>
    <w:rsid w:val="007801B7"/>
    <w:rsid w:val="0078390B"/>
    <w:rsid w:val="007E44BF"/>
    <w:rsid w:val="00843590"/>
    <w:rsid w:val="00881E75"/>
    <w:rsid w:val="008A4EC8"/>
    <w:rsid w:val="008D2343"/>
    <w:rsid w:val="00913B0F"/>
    <w:rsid w:val="00986831"/>
    <w:rsid w:val="009E0D62"/>
    <w:rsid w:val="009E76C5"/>
    <w:rsid w:val="00A0721D"/>
    <w:rsid w:val="00A47D10"/>
    <w:rsid w:val="00B02099"/>
    <w:rsid w:val="00B42868"/>
    <w:rsid w:val="00BA0E3C"/>
    <w:rsid w:val="00BF5251"/>
    <w:rsid w:val="00D20271"/>
    <w:rsid w:val="00DC4CE8"/>
    <w:rsid w:val="00DE7305"/>
    <w:rsid w:val="00E4113F"/>
    <w:rsid w:val="00E87A0A"/>
    <w:rsid w:val="00EA2EA9"/>
    <w:rsid w:val="00EC7017"/>
    <w:rsid w:val="00F42F3D"/>
    <w:rsid w:val="00F65A0A"/>
    <w:rsid w:val="00F7572E"/>
    <w:rsid w:val="00FA7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-">
    <w:name w:val="!-список"/>
    <w:basedOn w:val="a"/>
    <w:qFormat/>
    <w:rsid w:val="0078390B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35</cp:revision>
  <cp:lastPrinted>2014-10-27T11:35:00Z</cp:lastPrinted>
  <dcterms:created xsi:type="dcterms:W3CDTF">2014-10-27T11:04:00Z</dcterms:created>
  <dcterms:modified xsi:type="dcterms:W3CDTF">2017-10-17T12:10:00Z</dcterms:modified>
</cp:coreProperties>
</file>